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84" w:rsidRPr="000F7C84" w:rsidRDefault="000F7C84" w:rsidP="000F7C84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b/>
          <w:bCs/>
          <w:color w:val="41210A"/>
          <w:sz w:val="20"/>
          <w:szCs w:val="20"/>
        </w:rPr>
      </w:pPr>
      <w:proofErr w:type="spellStart"/>
      <w:r w:rsidRPr="000F7C84">
        <w:rPr>
          <w:rFonts w:ascii="Verdana" w:eastAsia="Times New Roman" w:hAnsi="Verdana" w:cs="Times New Roman"/>
          <w:b/>
          <w:bCs/>
          <w:color w:val="41210A"/>
          <w:sz w:val="20"/>
          <w:szCs w:val="20"/>
        </w:rPr>
        <w:t>Escuela</w:t>
      </w:r>
      <w:proofErr w:type="spellEnd"/>
      <w:r w:rsidRPr="000F7C84">
        <w:rPr>
          <w:rFonts w:ascii="Verdana" w:eastAsia="Times New Roman" w:hAnsi="Verdana" w:cs="Times New Roman"/>
          <w:b/>
          <w:bCs/>
          <w:color w:val="41210A"/>
          <w:sz w:val="20"/>
          <w:szCs w:val="20"/>
        </w:rPr>
        <w:t xml:space="preserve"> de </w:t>
      </w:r>
      <w:proofErr w:type="spellStart"/>
      <w:r w:rsidRPr="000F7C84">
        <w:rPr>
          <w:rFonts w:ascii="Verdana" w:eastAsia="Times New Roman" w:hAnsi="Verdana" w:cs="Times New Roman"/>
          <w:b/>
          <w:bCs/>
          <w:color w:val="41210A"/>
          <w:sz w:val="20"/>
          <w:szCs w:val="20"/>
        </w:rPr>
        <w:t>Verano</w:t>
      </w:r>
      <w:proofErr w:type="spellEnd"/>
    </w:p>
    <w:p w:rsidR="000F7C84" w:rsidRPr="000F7C84" w:rsidRDefault="000F7C84" w:rsidP="000F7C84">
      <w:pPr>
        <w:shd w:val="clear" w:color="auto" w:fill="FFFFFF"/>
        <w:spacing w:after="0" w:line="273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F7C8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D8E7282" wp14:editId="06F18D0D">
            <wp:extent cx="2152650" cy="2419350"/>
            <wp:effectExtent l="0" t="0" r="0" b="0"/>
            <wp:docPr id="1" name="Picture 1" descr="http://www.fultonschools.org/en/divisions/acd/learnteach/PublishingImages/LearnTeach_Landing/Summer%20school%20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ltonschools.org/en/divisions/acd/learnteach/PublishingImages/LearnTeach_Landing/Summer%20school%20p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0F7C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CO"/>
        </w:rPr>
        <w:t>Escuela de Verano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 es una oportunidad para que lo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s estudiantes de secundaria puedan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acelerar o recuperar los créd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itos durante el periodo entre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años escolares.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Existe cara a cara y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ofertas virtuales, y a menudo ofrecen a los estudiantes con una gama más amplia de opciones que las disponibles durante el año escolar. Las sesiones de verano son versiones condensadas de contenido proporcionado durante el año escolar, y los estudiantes deben tener sus solicitudes de cursos validados por su consejero antes de ser inscrito. Por lo gen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eral, se requiere la matrícula,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el t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ransporte es proporcionado en las locaciones 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seleccionadas. </w:t>
      </w:r>
    </w:p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Para el verano de 2016, los estudiantes que previamente han fallado un curso tienen la oportunidad de volver a tomar el curso de </w:t>
      </w:r>
      <w:r w:rsidRPr="000F7C84">
        <w:rPr>
          <w:rFonts w:ascii="Verdana" w:eastAsia="Times New Roman" w:hAnsi="Verdana" w:cs="Times New Roman"/>
          <w:b/>
          <w:color w:val="000000"/>
          <w:sz w:val="20"/>
          <w:szCs w:val="20"/>
          <w:lang w:val="es-CO"/>
        </w:rPr>
        <w:t>forma gratuita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. </w:t>
      </w:r>
      <w:r w:rsidRPr="000F7C84">
        <w:rPr>
          <w:rFonts w:ascii="Verdana" w:eastAsia="Times New Roman" w:hAnsi="Verdana" w:cs="Times New Roman"/>
          <w:b/>
          <w:color w:val="000000"/>
          <w:sz w:val="20"/>
          <w:szCs w:val="20"/>
          <w:lang w:val="es-CO"/>
        </w:rPr>
        <w:t>Los estudiantes pueden tomar hasta dos créditos sin costo alguno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. 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Cualquier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crédito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adicional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requerirá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de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matrícula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0F7C84" w:rsidRPr="000F7C84" w:rsidRDefault="000F7C84" w:rsidP="000F7C84">
      <w:pPr>
        <w:pBdr>
          <w:bottom w:val="dotted" w:sz="24" w:space="0" w:color="000000"/>
        </w:pBdr>
        <w:shd w:val="clear" w:color="auto" w:fill="FFFFFF"/>
        <w:spacing w:after="150" w:line="240" w:lineRule="auto"/>
        <w:outlineLvl w:val="0"/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</w:rPr>
      </w:pPr>
      <w:proofErr w:type="spellStart"/>
      <w:r w:rsidRPr="000F7C84"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</w:rPr>
        <w:t>Fechas</w:t>
      </w:r>
      <w:proofErr w:type="spellEnd"/>
      <w:r w:rsidRPr="000F7C84"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</w:rPr>
        <w:t xml:space="preserve"> </w:t>
      </w:r>
      <w:proofErr w:type="spellStart"/>
      <w:r w:rsidRPr="000F7C84"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</w:rPr>
        <w:t>importantes</w:t>
      </w:r>
      <w:proofErr w:type="spellEnd"/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698"/>
        <w:gridCol w:w="7623"/>
      </w:tblGrid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E</w:t>
            </w: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vento</w:t>
            </w:r>
            <w:proofErr w:type="spellEnd"/>
          </w:p>
        </w:tc>
        <w:tc>
          <w:tcPr>
            <w:tcW w:w="31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Fechas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y H</w:t>
            </w: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oras</w:t>
            </w:r>
          </w:p>
        </w:tc>
        <w:tc>
          <w:tcPr>
            <w:tcW w:w="31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N</w:t>
            </w: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otas</w:t>
            </w:r>
            <w:proofErr w:type="spellEnd"/>
          </w:p>
        </w:tc>
      </w:tr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egistro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en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línea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1 marzo-3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junio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R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egistro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Tardío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6 de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Junio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​​- 10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Junio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Estudiantes virtuales podrán registrarse en línea durante esta ventana. 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E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studiantes cara a cara podrán regis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trarse en persona en la escuela anfitriona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de verano durante esta ventana.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Los estudiantes no podrán inscribirse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en las clases que ya están llena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s.</w:t>
            </w:r>
          </w:p>
        </w:tc>
      </w:tr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Escuela de Verano Virtual Fulton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Junio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 15 Julio 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Cara a cara Escuela de Verano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8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junio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a 12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julio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El Centro estará </w:t>
            </w:r>
            <w:r w:rsidR="00DA7C7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cerrado el lunes 4 de julio del 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2016 para el Día de la Independencia.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Pe</w:t>
            </w:r>
            <w:r w:rsidR="00DA7C7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rsonal </w:t>
            </w:r>
            <w:proofErr w:type="spellStart"/>
            <w:r w:rsidR="00DA7C7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Fitness</w:t>
            </w:r>
            <w:proofErr w:type="spellEnd"/>
            <w:r w:rsidR="00DA7C7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sólo se reunirá del  8 junio al </w:t>
            </w: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28 junio 2016.</w:t>
            </w:r>
          </w:p>
        </w:tc>
      </w:tr>
      <w:tr w:rsidR="000F7C84" w:rsidRPr="000F7C84" w:rsidTr="000F7C84">
        <w:tc>
          <w:tcPr>
            <w:tcW w:w="23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lastRenderedPageBreak/>
              <w:t>Las pruebas de fin de curso (EOC)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DA7C70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11 a 12 Julio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2016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Todos los estudiantes cara a cara y estudiantes virtuales que están tomando un curso EOC participarán en las pruebas.</w:t>
            </w:r>
          </w:p>
        </w:tc>
      </w:tr>
    </w:tbl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0F7C84">
        <w:rPr>
          <w:rFonts w:ascii="Verdana" w:eastAsia="Times New Roman" w:hAnsi="Verdana" w:cs="Segoe UI Semilight"/>
          <w:b/>
          <w:bCs/>
          <w:color w:val="000000"/>
          <w:sz w:val="18"/>
          <w:szCs w:val="18"/>
          <w:lang w:val="es-CO"/>
        </w:rPr>
        <w:br/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 </w:t>
      </w:r>
    </w:p>
    <w:p w:rsidR="000F7C84" w:rsidRPr="000F7C84" w:rsidRDefault="000F7C84" w:rsidP="000F7C84">
      <w:pPr>
        <w:pBdr>
          <w:bottom w:val="dotted" w:sz="24" w:space="0" w:color="000000"/>
        </w:pBdr>
        <w:shd w:val="clear" w:color="auto" w:fill="FFFFFF"/>
        <w:spacing w:after="150" w:line="240" w:lineRule="auto"/>
        <w:outlineLvl w:val="0"/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  <w:lang w:val="es-CO"/>
        </w:rPr>
      </w:pPr>
      <w:proofErr w:type="gramStart"/>
      <w:r w:rsidRPr="000F7C84">
        <w:rPr>
          <w:rFonts w:ascii="adobe Garamond Pro" w:eastAsia="Times New Roman" w:hAnsi="adobe Garamond Pro" w:cs="Times New Roman"/>
          <w:color w:val="781A3B"/>
          <w:kern w:val="36"/>
          <w:sz w:val="46"/>
          <w:szCs w:val="46"/>
          <w:lang w:val="es-CO"/>
        </w:rPr>
        <w:t>cursos</w:t>
      </w:r>
      <w:proofErr w:type="gramEnd"/>
    </w:p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Los siguientes cursos están disponibles para los estudiantes que no hayan pasado primero y / o segundo semestre. Estos cursos no está</w:t>
      </w:r>
      <w:r w:rsidR="00DA7C70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n disponibles para los que tomen el curso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por primera vez.</w:t>
      </w:r>
      <w:r w:rsidR="00DA7C70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Los estudiantes que deseen acelerar su aprendizaje y tomar uno de estos cursos, por primera vez durante el verano pueden inscribirse en el curso a través de la Escuela Virtual de Fulton.                                               </w:t>
      </w:r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Grado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9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Literatura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Composición</w:t>
      </w:r>
      <w:proofErr w:type="spellEnd"/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Literatura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americana</w:t>
      </w:r>
      <w:proofErr w:type="spellEnd"/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GSE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Álgebra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I</w:t>
      </w:r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GSE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Geometría</w:t>
      </w:r>
      <w:proofErr w:type="spellEnd"/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Biología</w:t>
      </w:r>
      <w:proofErr w:type="spellEnd"/>
    </w:p>
    <w:p w:rsidR="000F7C84" w:rsidRPr="000F7C84" w:rsidRDefault="000F7C84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Ciencia</w:t>
      </w:r>
      <w:proofErr w:type="spellEnd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F7C84">
        <w:rPr>
          <w:rFonts w:ascii="Verdana" w:eastAsia="Times New Roman" w:hAnsi="Verdana" w:cs="Times New Roman"/>
          <w:color w:val="000000"/>
          <w:sz w:val="20"/>
          <w:szCs w:val="20"/>
        </w:rPr>
        <w:t>física</w:t>
      </w:r>
      <w:proofErr w:type="spellEnd"/>
    </w:p>
    <w:p w:rsidR="000F7C84" w:rsidRPr="000F7C84" w:rsidRDefault="00DA7C70" w:rsidP="000F7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Historia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Estados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 w:rsidR="000F7C84" w:rsidRPr="000F7C84">
        <w:rPr>
          <w:rFonts w:ascii="Verdana" w:eastAsia="Times New Roman" w:hAnsi="Verdana" w:cs="Times New Roman"/>
          <w:color w:val="000000"/>
          <w:sz w:val="20"/>
          <w:szCs w:val="20"/>
        </w:rPr>
        <w:t>nidos</w:t>
      </w:r>
      <w:proofErr w:type="spellEnd"/>
    </w:p>
    <w:p w:rsidR="000F7C84" w:rsidRPr="000F7C84" w:rsidRDefault="000F7C84" w:rsidP="000F7C8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</w:pP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>Los siguientes cursos están disponibles para los estudiantes que</w:t>
      </w:r>
      <w:r w:rsidR="00DA7C70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necesitan repetir el curso o lo </w:t>
      </w:r>
      <w:r w:rsidRPr="000F7C84">
        <w:rPr>
          <w:rFonts w:ascii="Verdana" w:eastAsia="Times New Roman" w:hAnsi="Verdana" w:cs="Times New Roman"/>
          <w:color w:val="000000"/>
          <w:sz w:val="20"/>
          <w:szCs w:val="20"/>
          <w:lang w:val="es-CO"/>
        </w:rPr>
        <w:t xml:space="preserve"> tome por primera vez.</w:t>
      </w:r>
    </w:p>
    <w:p w:rsidR="000F7C84" w:rsidRPr="000F7C84" w:rsidRDefault="007174F9" w:rsidP="000F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="000F7C84" w:rsidRPr="000F7C84">
        <w:rPr>
          <w:rFonts w:ascii="Verdana" w:eastAsia="Times New Roman" w:hAnsi="Verdana" w:cs="Times New Roman"/>
          <w:color w:val="000000"/>
          <w:sz w:val="20"/>
          <w:szCs w:val="20"/>
        </w:rPr>
        <w:t>ersonal fitness</w:t>
      </w:r>
    </w:p>
    <w:p w:rsidR="000F7C84" w:rsidRPr="000F7C84" w:rsidRDefault="007174F9" w:rsidP="000F7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Ciencias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E</w:t>
      </w:r>
      <w:r w:rsidR="000F7C84" w:rsidRPr="000F7C84">
        <w:rPr>
          <w:rFonts w:ascii="Verdana" w:eastAsia="Times New Roman" w:hAnsi="Verdana" w:cs="Times New Roman"/>
          <w:color w:val="000000"/>
          <w:sz w:val="20"/>
          <w:szCs w:val="20"/>
        </w:rPr>
        <w:t>conómicas</w:t>
      </w:r>
      <w:proofErr w:type="spellEnd"/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6243"/>
      </w:tblGrid>
      <w:tr w:rsidR="000F7C84" w:rsidRPr="000F7C84" w:rsidTr="000F7C84">
        <w:tc>
          <w:tcPr>
            <w:tcW w:w="9930" w:type="dxa"/>
            <w:gridSpan w:val="2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  <w:p w:rsidR="000F7C84" w:rsidRPr="000F7C84" w:rsidRDefault="000F7C84" w:rsidP="000F7C84">
            <w:pPr>
              <w:pBdr>
                <w:bottom w:val="dotted" w:sz="24" w:space="0" w:color="000000"/>
              </w:pBdr>
              <w:spacing w:after="150" w:line="240" w:lineRule="auto"/>
              <w:outlineLvl w:val="0"/>
              <w:rPr>
                <w:rFonts w:ascii="adobe Garamond Pro" w:eastAsia="Times New Roman" w:hAnsi="adobe Garamond Pro" w:cs="Times New Roman"/>
                <w:color w:val="781A3B"/>
                <w:kern w:val="36"/>
                <w:sz w:val="55"/>
                <w:szCs w:val="55"/>
              </w:rPr>
            </w:pPr>
            <w:proofErr w:type="spellStart"/>
            <w:r w:rsidRPr="000F7C84">
              <w:rPr>
                <w:rFonts w:ascii="adobe Garamond Pro" w:eastAsia="Times New Roman" w:hAnsi="adobe Garamond Pro" w:cs="Times New Roman"/>
                <w:color w:val="781A3B"/>
                <w:kern w:val="36"/>
                <w:sz w:val="55"/>
                <w:szCs w:val="55"/>
              </w:rPr>
              <w:t>Ubicaciones</w:t>
            </w:r>
            <w:proofErr w:type="spellEnd"/>
            <w:r w:rsidRPr="000F7C84">
              <w:rPr>
                <w:rFonts w:ascii="adobe Garamond Pro" w:eastAsia="Times New Roman" w:hAnsi="adobe Garamond Pro" w:cs="Times New Roman"/>
                <w:color w:val="781A3B"/>
                <w:kern w:val="36"/>
                <w:sz w:val="55"/>
                <w:szCs w:val="55"/>
              </w:rPr>
              <w:t> 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 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Banneker</w:t>
            </w:r>
            <w:r w:rsidR="007174F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High School</w:t>
            </w:r>
          </w:p>
          <w:p w:rsidR="000F7C84" w:rsidRPr="000F7C84" w:rsidRDefault="007174F9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1D07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· Sirven 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Banneker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Cambridge High School</w:t>
            </w:r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Alpharetta</w:t>
            </w:r>
            <w:proofErr w:type="spellEnd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, Cambridge, Milton y Roswell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Escuela Secundaria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chattahoochee</w:t>
            </w:r>
            <w:proofErr w:type="spellEnd"/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Centennial</w:t>
            </w:r>
            <w:proofErr w:type="spellEnd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, Chattahoochee, Johns Creek y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Northview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Escuela Secundaria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Creekside</w:t>
            </w:r>
            <w:proofErr w:type="spellEnd"/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los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Creekside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Langston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 Hughes Escuela Secundaria</w:t>
            </w:r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Langston</w:t>
            </w:r>
            <w:proofErr w:type="spellEnd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Hughes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Escuela Secundaria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McClarin</w:t>
            </w:r>
            <w:proofErr w:type="spellEnd"/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McClarin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C9D7F1"/>
                <w:lang w:val="es-CO"/>
              </w:rPr>
              <w:lastRenderedPageBreak/>
              <w:t>Escuela Secundaria North Springs</w:t>
            </w:r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 a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estudiantes de North Springs y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Riverwood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Tri-Cities</w:t>
            </w:r>
            <w:proofErr w:type="spellEnd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 Escuela Secundaria</w:t>
            </w:r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Tri-Cities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 xml:space="preserve">Escuela Secundaria </w:t>
            </w:r>
            <w:proofErr w:type="spellStart"/>
            <w:r w:rsidRPr="000F7C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s-CO"/>
              </w:rPr>
              <w:t>Westlake</w:t>
            </w:r>
            <w:proofErr w:type="spellEnd"/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· Sirven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estudiantes de </w:t>
            </w:r>
            <w:proofErr w:type="spellStart"/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Westlake</w:t>
            </w:r>
            <w:proofErr w:type="spellEnd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  <w:t> </w:t>
            </w:r>
          </w:p>
          <w:p w:rsidR="000F7C84" w:rsidRPr="000F7C84" w:rsidRDefault="001D0710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Los estudiantes de Independence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Ombudsman del Norte / Sur asistiendo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 a la escuela de verano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 xml:space="preserve">irán al sitio correspondiente de </w:t>
            </w:r>
            <w:r w:rsidR="000F7C84" w:rsidRPr="000F7C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s-CO"/>
              </w:rPr>
              <w:t>su escuela.</w:t>
            </w:r>
          </w:p>
          <w:p w:rsidR="00900F5D" w:rsidRPr="00900F5D" w:rsidRDefault="000F7C84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0F7C84">
              <w:rPr>
                <w:b/>
                <w:bCs/>
                <w:color w:val="444444"/>
                <w:lang w:val="es-CO"/>
              </w:rPr>
              <w:t> </w:t>
            </w:r>
            <w:r w:rsidR="00900F5D" w:rsidRPr="00900F5D">
              <w:rPr>
                <w:rStyle w:val="Strong"/>
                <w:rFonts w:ascii="Verdana" w:hAnsi="Verdana"/>
                <w:color w:val="333333"/>
                <w:sz w:val="36"/>
                <w:szCs w:val="36"/>
                <w:shd w:val="clear" w:color="auto" w:fill="C9D7F1"/>
                <w:lang w:val="es-CO"/>
              </w:rPr>
              <w:t>Registro</w:t>
            </w:r>
          </w:p>
          <w:p w:rsid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hyperlink r:id="rId6" w:history="1">
              <w:r w:rsidRPr="00900F5D">
                <w:rPr>
                  <w:rStyle w:val="Hyperlink"/>
                  <w:rFonts w:ascii="Verdana" w:hAnsi="Verdana"/>
                  <w:color w:val="0072C6"/>
                  <w:sz w:val="20"/>
                  <w:szCs w:val="20"/>
                  <w:u w:val="none"/>
                  <w:lang w:val="es-CO"/>
                </w:rPr>
                <w:t>HAGA CLIC AQUÍ</w:t>
              </w:r>
            </w:hyperlink>
            <w:r w:rsidRPr="00900F5D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CO"/>
              </w:rPr>
              <w:t> </w:t>
            </w:r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>para inscribirse en la escuela de verano cara a cara.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900F5D">
              <w:rPr>
                <w:rStyle w:val="Strong"/>
                <w:rFonts w:ascii="Verdana" w:hAnsi="Verdana"/>
                <w:color w:val="333333"/>
                <w:sz w:val="36"/>
                <w:szCs w:val="36"/>
                <w:shd w:val="clear" w:color="auto" w:fill="C9D7F1"/>
                <w:lang w:val="es-CO"/>
              </w:rPr>
              <w:t>Escuela de Verano Virtual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>Si usted está interesado en las clases virtuales, por favor</w:t>
            </w:r>
            <w:r w:rsidRPr="00900F5D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CO"/>
              </w:rPr>
              <w:t> </w:t>
            </w:r>
            <w:hyperlink r:id="rId7" w:history="1">
              <w:r w:rsidRPr="00900F5D">
                <w:rPr>
                  <w:rStyle w:val="Hyperlink"/>
                  <w:rFonts w:ascii="Verdana" w:hAnsi="Verdana"/>
                  <w:color w:val="0072C6"/>
                  <w:sz w:val="20"/>
                  <w:szCs w:val="20"/>
                  <w:lang w:val="es-CO"/>
                </w:rPr>
                <w:t xml:space="preserve">HAGA CLIC </w:t>
              </w:r>
              <w:proofErr w:type="spellStart"/>
              <w:r w:rsidRPr="00900F5D">
                <w:rPr>
                  <w:rStyle w:val="Hyperlink"/>
                  <w:rFonts w:ascii="Verdana" w:hAnsi="Verdana"/>
                  <w:color w:val="0072C6"/>
                  <w:sz w:val="20"/>
                  <w:szCs w:val="20"/>
                  <w:lang w:val="es-CO"/>
                </w:rPr>
                <w:t>AQUÍ</w:t>
              </w:r>
            </w:hyperlink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>para</w:t>
            </w:r>
            <w:proofErr w:type="spellEnd"/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 xml:space="preserve"> visitar la página web de la Escuela Virtual de Fulton.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900F5D">
              <w:rPr>
                <w:rStyle w:val="Strong"/>
                <w:rFonts w:ascii="Verdana" w:hAnsi="Verdana"/>
                <w:color w:val="444444"/>
                <w:sz w:val="36"/>
                <w:szCs w:val="36"/>
                <w:lang w:val="es-CO"/>
              </w:rPr>
              <w:t>Matrícula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900F5D">
              <w:rPr>
                <w:rStyle w:val="Strong"/>
                <w:rFonts w:ascii="Verdana" w:hAnsi="Verdana"/>
                <w:color w:val="000000"/>
                <w:sz w:val="20"/>
                <w:szCs w:val="20"/>
                <w:lang w:val="es-CO"/>
              </w:rPr>
              <w:t>½ Crédito</w:t>
            </w:r>
            <w:r w:rsidRPr="00900F5D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CO"/>
              </w:rPr>
              <w:t> </w:t>
            </w:r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>= $ 225 ($ 180 con el estado de comida gratis / reducida) por curso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r w:rsidRPr="00900F5D">
              <w:rPr>
                <w:rStyle w:val="Strong"/>
                <w:rFonts w:ascii="Verdana" w:hAnsi="Verdana"/>
                <w:color w:val="000000"/>
                <w:sz w:val="20"/>
                <w:szCs w:val="20"/>
                <w:lang w:val="es-CO"/>
              </w:rPr>
              <w:t>1 crédito</w:t>
            </w:r>
            <w:r w:rsidRPr="00900F5D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lang w:val="es-CO"/>
              </w:rPr>
              <w:t> </w:t>
            </w:r>
            <w:r w:rsidRPr="00900F5D">
              <w:rPr>
                <w:rFonts w:ascii="Verdana" w:hAnsi="Verdana"/>
                <w:color w:val="000000"/>
                <w:sz w:val="20"/>
                <w:szCs w:val="20"/>
                <w:lang w:val="es-CO"/>
              </w:rPr>
              <w:t>= $ 450 ($ 360 con el estado de comida gratis / reducida) por curso</w:t>
            </w:r>
          </w:p>
          <w:p w:rsidR="00900F5D" w:rsidRPr="00900F5D" w:rsidRDefault="00900F5D" w:rsidP="00900F5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Verdana" w:hAnsi="Verdana"/>
                <w:color w:val="000000"/>
                <w:sz w:val="20"/>
                <w:szCs w:val="20"/>
                <w:lang w:val="es-CO"/>
              </w:rPr>
            </w:pPr>
            <w:bookmarkStart w:id="0" w:name="_GoBack"/>
            <w:bookmarkEnd w:id="0"/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</w:p>
        </w:tc>
      </w:tr>
      <w:tr w:rsidR="000F7C84" w:rsidRPr="000F7C84" w:rsidTr="000F7C84">
        <w:trPr>
          <w:trHeight w:val="2880"/>
        </w:trPr>
        <w:tc>
          <w:tcPr>
            <w:tcW w:w="378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  <w:lang w:val="es-CO"/>
              </w:rPr>
            </w:pPr>
          </w:p>
        </w:tc>
        <w:tc>
          <w:tcPr>
            <w:tcW w:w="600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 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CO"/>
              </w:rPr>
              <w:t> </w:t>
            </w:r>
          </w:p>
        </w:tc>
      </w:tr>
      <w:tr w:rsidR="000F7C84" w:rsidRPr="000F7C84" w:rsidTr="000F7C84">
        <w:tc>
          <w:tcPr>
            <w:tcW w:w="378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600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F7C84" w:rsidRPr="000F7C84" w:rsidTr="000F7C84">
        <w:tc>
          <w:tcPr>
            <w:tcW w:w="378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0F7C84" w:rsidRPr="000F7C84" w:rsidRDefault="000F7C84" w:rsidP="000F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</w:p>
        </w:tc>
      </w:tr>
    </w:tbl>
    <w:p w:rsidR="00556E8C" w:rsidRPr="000F7C84" w:rsidRDefault="00556E8C" w:rsidP="000F7C84"/>
    <w:sectPr w:rsidR="00556E8C" w:rsidRPr="000F7C84" w:rsidSect="000F7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03C"/>
    <w:multiLevelType w:val="multilevel"/>
    <w:tmpl w:val="0D8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EA06C6"/>
    <w:multiLevelType w:val="multilevel"/>
    <w:tmpl w:val="22A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4"/>
    <w:rsid w:val="000F7C84"/>
    <w:rsid w:val="001D0710"/>
    <w:rsid w:val="00556E8C"/>
    <w:rsid w:val="007174F9"/>
    <w:rsid w:val="00900F5D"/>
    <w:rsid w:val="00D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52FF-9960-4E52-B8CF-4F68F179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0F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0F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8145">
              <w:marLeft w:val="0"/>
              <w:marRight w:val="0"/>
              <w:marTop w:val="0"/>
              <w:marBottom w:val="0"/>
              <w:divBdr>
                <w:top w:val="none" w:sz="0" w:space="6" w:color="B7AA75"/>
                <w:left w:val="none" w:sz="0" w:space="0" w:color="B7AA75"/>
                <w:bottom w:val="none" w:sz="0" w:space="6" w:color="B7AA75"/>
                <w:right w:val="none" w:sz="0" w:space="0" w:color="B7AA75"/>
              </w:divBdr>
              <w:divsChild>
                <w:div w:id="4033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38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3429">
                          <w:marLeft w:val="0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80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0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8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tonschools.org/en/divisions/acd/learnteach/InstrTech/Pages/FultonVirtual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tonsummer.geniussis.com/PublicWelcome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Erika L</dc:creator>
  <cp:keywords/>
  <dc:description/>
  <cp:lastModifiedBy>Graham, Erika L</cp:lastModifiedBy>
  <cp:revision>3</cp:revision>
  <dcterms:created xsi:type="dcterms:W3CDTF">2016-03-16T19:22:00Z</dcterms:created>
  <dcterms:modified xsi:type="dcterms:W3CDTF">2016-03-16T20:04:00Z</dcterms:modified>
</cp:coreProperties>
</file>